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7CE4B7" w14:textId="4E5F1D9E" w:rsidR="007947DC" w:rsidRDefault="007947DC">
      <w:pPr>
        <w:pBdr>
          <w:bottom w:val="single" w:sz="15" w:space="3" w:color="F4C430"/>
        </w:pBdr>
        <w:spacing w:before="100" w:after="140"/>
        <w:jc w:val="center"/>
        <w:rPr>
          <w:b/>
          <w:color w:val="0067A5"/>
          <w:sz w:val="36"/>
        </w:rPr>
      </w:pPr>
      <w:r>
        <w:rPr>
          <w:noProof/>
        </w:rPr>
        <w:drawing>
          <wp:inline distT="0" distB="0" distL="0" distR="0" wp14:anchorId="320007C6" wp14:editId="4636F472">
            <wp:extent cx="2057400" cy="71831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00.png"/>
                    <pic:cNvPicPr/>
                  </pic:nvPicPr>
                  <pic:blipFill>
                    <a:blip r:embed="rId8"/>
                    <a:stretch>
                      <a:fillRect/>
                    </a:stretch>
                  </pic:blipFill>
                  <pic:spPr>
                    <a:xfrm>
                      <a:off x="0" y="0"/>
                      <a:ext cx="2057400" cy="718316"/>
                    </a:xfrm>
                    <a:prstGeom prst="rect">
                      <a:avLst/>
                    </a:prstGeom>
                  </pic:spPr>
                </pic:pic>
              </a:graphicData>
            </a:graphic>
          </wp:inline>
        </w:drawing>
      </w:r>
    </w:p>
    <w:p w14:paraId="125D1FEF" w14:textId="77777777" w:rsidR="007947DC" w:rsidRDefault="007947DC">
      <w:pPr>
        <w:pBdr>
          <w:bottom w:val="single" w:sz="15" w:space="3" w:color="F4C430"/>
        </w:pBdr>
        <w:spacing w:before="100" w:after="140"/>
        <w:jc w:val="center"/>
        <w:rPr>
          <w:b/>
          <w:color w:val="0067A5"/>
          <w:sz w:val="36"/>
        </w:rPr>
      </w:pPr>
    </w:p>
    <w:p w14:paraId="14519351" w14:textId="7964D644" w:rsidR="004E1F7E" w:rsidRDefault="00000000">
      <w:pPr>
        <w:pBdr>
          <w:bottom w:val="single" w:sz="15" w:space="3" w:color="F4C430"/>
        </w:pBdr>
        <w:spacing w:before="100" w:after="140"/>
        <w:jc w:val="center"/>
      </w:pPr>
      <w:r>
        <w:rPr>
          <w:b/>
          <w:color w:val="0067A5"/>
          <w:sz w:val="36"/>
        </w:rPr>
        <w:t>Operations Specialist</w:t>
      </w:r>
    </w:p>
    <w:tbl>
      <w:tblPr>
        <w:tblW w:w="0" w:type="auto"/>
        <w:jc w:val="center"/>
        <w:tblBorders>
          <w:top w:val="single" w:sz="4" w:space="0" w:color="B9C3CC"/>
          <w:left w:val="single" w:sz="4" w:space="0" w:color="B9C3CC"/>
          <w:bottom w:val="single" w:sz="4" w:space="0" w:color="B9C3CC"/>
          <w:right w:val="single" w:sz="4" w:space="0" w:color="B9C3CC"/>
          <w:insideH w:val="single" w:sz="4" w:space="0" w:color="B9C3CC"/>
          <w:insideV w:val="single" w:sz="4" w:space="0" w:color="B9C3CC"/>
        </w:tblBorders>
        <w:tblLayout w:type="fixed"/>
        <w:tblLook w:val="04A0" w:firstRow="1" w:lastRow="0" w:firstColumn="1" w:lastColumn="0" w:noHBand="0" w:noVBand="1"/>
      </w:tblPr>
      <w:tblGrid>
        <w:gridCol w:w="1757"/>
        <w:gridCol w:w="2966"/>
        <w:gridCol w:w="1800"/>
        <w:gridCol w:w="3211"/>
      </w:tblGrid>
      <w:tr w:rsidR="004E1F7E" w14:paraId="6682BA19" w14:textId="77777777">
        <w:trPr>
          <w:jc w:val="center"/>
        </w:trPr>
        <w:tc>
          <w:tcPr>
            <w:tcW w:w="1757" w:type="dxa"/>
            <w:shd w:val="clear" w:color="auto" w:fill="E8F1FB"/>
            <w:tcMar>
              <w:top w:w="75" w:type="dxa"/>
              <w:left w:w="95" w:type="dxa"/>
              <w:bottom w:w="75" w:type="dxa"/>
              <w:right w:w="95" w:type="dxa"/>
            </w:tcMar>
            <w:vAlign w:val="center"/>
          </w:tcPr>
          <w:p w14:paraId="188D4B17" w14:textId="77777777" w:rsidR="004E1F7E" w:rsidRDefault="00000000">
            <w:pPr>
              <w:spacing w:after="0"/>
            </w:pPr>
            <w:r>
              <w:rPr>
                <w:b/>
                <w:color w:val="0067A5"/>
                <w:sz w:val="17"/>
              </w:rPr>
              <w:t>Department</w:t>
            </w:r>
          </w:p>
        </w:tc>
        <w:tc>
          <w:tcPr>
            <w:tcW w:w="2966" w:type="dxa"/>
            <w:tcMar>
              <w:top w:w="75" w:type="dxa"/>
              <w:left w:w="95" w:type="dxa"/>
              <w:bottom w:w="75" w:type="dxa"/>
              <w:right w:w="95" w:type="dxa"/>
            </w:tcMar>
            <w:vAlign w:val="center"/>
          </w:tcPr>
          <w:p w14:paraId="7F8681D3" w14:textId="77777777" w:rsidR="004E1F7E" w:rsidRDefault="00000000">
            <w:pPr>
              <w:spacing w:after="0"/>
            </w:pPr>
            <w:r>
              <w:rPr>
                <w:sz w:val="17"/>
              </w:rPr>
              <w:t>Finance &amp; Operations</w:t>
            </w:r>
          </w:p>
        </w:tc>
        <w:tc>
          <w:tcPr>
            <w:tcW w:w="1800" w:type="dxa"/>
            <w:shd w:val="clear" w:color="auto" w:fill="E8F1FB"/>
            <w:tcMar>
              <w:top w:w="75" w:type="dxa"/>
              <w:left w:w="95" w:type="dxa"/>
              <w:bottom w:w="75" w:type="dxa"/>
              <w:right w:w="95" w:type="dxa"/>
            </w:tcMar>
            <w:vAlign w:val="center"/>
          </w:tcPr>
          <w:p w14:paraId="662F7F00" w14:textId="77777777" w:rsidR="004E1F7E" w:rsidRDefault="00000000">
            <w:pPr>
              <w:spacing w:after="0"/>
            </w:pPr>
            <w:r>
              <w:rPr>
                <w:b/>
                <w:color w:val="0067A5"/>
                <w:sz w:val="17"/>
              </w:rPr>
              <w:t>Reports To</w:t>
            </w:r>
          </w:p>
        </w:tc>
        <w:tc>
          <w:tcPr>
            <w:tcW w:w="3211" w:type="dxa"/>
            <w:tcMar>
              <w:top w:w="75" w:type="dxa"/>
              <w:left w:w="95" w:type="dxa"/>
              <w:bottom w:w="75" w:type="dxa"/>
              <w:right w:w="95" w:type="dxa"/>
            </w:tcMar>
            <w:vAlign w:val="center"/>
          </w:tcPr>
          <w:p w14:paraId="47280CE0" w14:textId="77777777" w:rsidR="004E1F7E" w:rsidRDefault="00000000">
            <w:pPr>
              <w:spacing w:after="0"/>
            </w:pPr>
            <w:r>
              <w:rPr>
                <w:sz w:val="17"/>
              </w:rPr>
              <w:t>Vice President of Finance and Operations</w:t>
            </w:r>
          </w:p>
        </w:tc>
      </w:tr>
      <w:tr w:rsidR="004E1F7E" w14:paraId="2F350A4C" w14:textId="77777777">
        <w:trPr>
          <w:jc w:val="center"/>
        </w:trPr>
        <w:tc>
          <w:tcPr>
            <w:tcW w:w="1757" w:type="dxa"/>
            <w:shd w:val="clear" w:color="auto" w:fill="E8F1FB"/>
            <w:tcMar>
              <w:top w:w="75" w:type="dxa"/>
              <w:left w:w="95" w:type="dxa"/>
              <w:bottom w:w="75" w:type="dxa"/>
              <w:right w:w="95" w:type="dxa"/>
            </w:tcMar>
            <w:vAlign w:val="center"/>
          </w:tcPr>
          <w:p w14:paraId="402A5149" w14:textId="77777777" w:rsidR="004E1F7E" w:rsidRDefault="00000000">
            <w:pPr>
              <w:spacing w:after="0"/>
            </w:pPr>
            <w:r>
              <w:rPr>
                <w:b/>
                <w:color w:val="0067A5"/>
                <w:sz w:val="17"/>
              </w:rPr>
              <w:t>FLSA Status</w:t>
            </w:r>
          </w:p>
        </w:tc>
        <w:tc>
          <w:tcPr>
            <w:tcW w:w="2966" w:type="dxa"/>
            <w:tcMar>
              <w:top w:w="75" w:type="dxa"/>
              <w:left w:w="95" w:type="dxa"/>
              <w:bottom w:w="75" w:type="dxa"/>
              <w:right w:w="95" w:type="dxa"/>
            </w:tcMar>
            <w:vAlign w:val="center"/>
          </w:tcPr>
          <w:p w14:paraId="327D2F31" w14:textId="77777777" w:rsidR="004E1F7E" w:rsidRDefault="00000000">
            <w:pPr>
              <w:spacing w:after="0"/>
            </w:pPr>
            <w:r>
              <w:rPr>
                <w:sz w:val="17"/>
              </w:rPr>
              <w:t>Non-Exempt</w:t>
            </w:r>
          </w:p>
        </w:tc>
        <w:tc>
          <w:tcPr>
            <w:tcW w:w="1800" w:type="dxa"/>
            <w:shd w:val="clear" w:color="auto" w:fill="E8F1FB"/>
            <w:tcMar>
              <w:top w:w="75" w:type="dxa"/>
              <w:left w:w="95" w:type="dxa"/>
              <w:bottom w:w="75" w:type="dxa"/>
              <w:right w:w="95" w:type="dxa"/>
            </w:tcMar>
            <w:vAlign w:val="center"/>
          </w:tcPr>
          <w:p w14:paraId="07884432" w14:textId="77777777" w:rsidR="004E1F7E" w:rsidRDefault="00000000">
            <w:pPr>
              <w:spacing w:after="0"/>
            </w:pPr>
            <w:r>
              <w:rPr>
                <w:b/>
                <w:color w:val="0067A5"/>
                <w:sz w:val="17"/>
              </w:rPr>
              <w:t>Location</w:t>
            </w:r>
          </w:p>
        </w:tc>
        <w:tc>
          <w:tcPr>
            <w:tcW w:w="3211" w:type="dxa"/>
            <w:tcMar>
              <w:top w:w="75" w:type="dxa"/>
              <w:left w:w="95" w:type="dxa"/>
              <w:bottom w:w="75" w:type="dxa"/>
              <w:right w:w="95" w:type="dxa"/>
            </w:tcMar>
            <w:vAlign w:val="center"/>
          </w:tcPr>
          <w:p w14:paraId="11ACDA07" w14:textId="77777777" w:rsidR="004E1F7E" w:rsidRDefault="00000000">
            <w:pPr>
              <w:spacing w:after="0"/>
            </w:pPr>
            <w:r>
              <w:rPr>
                <w:sz w:val="17"/>
              </w:rPr>
              <w:t>Irvine, California</w:t>
            </w:r>
          </w:p>
        </w:tc>
      </w:tr>
      <w:tr w:rsidR="004E1F7E" w14:paraId="58EE5D52" w14:textId="77777777">
        <w:trPr>
          <w:jc w:val="center"/>
        </w:trPr>
        <w:tc>
          <w:tcPr>
            <w:tcW w:w="1757" w:type="dxa"/>
            <w:shd w:val="clear" w:color="auto" w:fill="E8F1FB"/>
            <w:tcMar>
              <w:top w:w="75" w:type="dxa"/>
              <w:left w:w="95" w:type="dxa"/>
              <w:bottom w:w="75" w:type="dxa"/>
              <w:right w:w="95" w:type="dxa"/>
            </w:tcMar>
            <w:vAlign w:val="center"/>
          </w:tcPr>
          <w:p w14:paraId="20D8D197" w14:textId="77777777" w:rsidR="004E1F7E" w:rsidRDefault="00000000">
            <w:pPr>
              <w:spacing w:after="0"/>
            </w:pPr>
            <w:r>
              <w:rPr>
                <w:b/>
                <w:color w:val="0067A5"/>
                <w:sz w:val="17"/>
              </w:rPr>
              <w:t>Position Type</w:t>
            </w:r>
          </w:p>
        </w:tc>
        <w:tc>
          <w:tcPr>
            <w:tcW w:w="2966" w:type="dxa"/>
            <w:tcMar>
              <w:top w:w="75" w:type="dxa"/>
              <w:left w:w="95" w:type="dxa"/>
              <w:bottom w:w="75" w:type="dxa"/>
              <w:right w:w="95" w:type="dxa"/>
            </w:tcMar>
            <w:vAlign w:val="center"/>
          </w:tcPr>
          <w:p w14:paraId="38ED4860" w14:textId="77777777" w:rsidR="004E1F7E" w:rsidRDefault="00000000">
            <w:pPr>
              <w:spacing w:after="0"/>
            </w:pPr>
            <w:r>
              <w:rPr>
                <w:sz w:val="17"/>
              </w:rPr>
              <w:t>Full-time, hourly</w:t>
            </w:r>
          </w:p>
        </w:tc>
        <w:tc>
          <w:tcPr>
            <w:tcW w:w="1800" w:type="dxa"/>
            <w:shd w:val="clear" w:color="auto" w:fill="E8F1FB"/>
            <w:tcMar>
              <w:top w:w="75" w:type="dxa"/>
              <w:left w:w="95" w:type="dxa"/>
              <w:bottom w:w="75" w:type="dxa"/>
              <w:right w:w="95" w:type="dxa"/>
            </w:tcMar>
            <w:vAlign w:val="center"/>
          </w:tcPr>
          <w:p w14:paraId="01FE5F66" w14:textId="77777777" w:rsidR="004E1F7E" w:rsidRDefault="00000000">
            <w:pPr>
              <w:spacing w:after="0"/>
            </w:pPr>
            <w:r>
              <w:rPr>
                <w:b/>
                <w:color w:val="0067A5"/>
                <w:sz w:val="17"/>
              </w:rPr>
              <w:t>Work Arrangement</w:t>
            </w:r>
          </w:p>
        </w:tc>
        <w:tc>
          <w:tcPr>
            <w:tcW w:w="3211" w:type="dxa"/>
            <w:tcMar>
              <w:top w:w="75" w:type="dxa"/>
              <w:left w:w="95" w:type="dxa"/>
              <w:bottom w:w="75" w:type="dxa"/>
              <w:right w:w="95" w:type="dxa"/>
            </w:tcMar>
            <w:vAlign w:val="center"/>
          </w:tcPr>
          <w:p w14:paraId="169E7B56" w14:textId="77777777" w:rsidR="004E1F7E" w:rsidRDefault="00000000">
            <w:pPr>
              <w:spacing w:after="0"/>
            </w:pPr>
            <w:r>
              <w:rPr>
                <w:sz w:val="17"/>
              </w:rPr>
              <w:t>Chapter office with regional travel as needed</w:t>
            </w:r>
          </w:p>
        </w:tc>
      </w:tr>
      <w:tr w:rsidR="004E1F7E" w14:paraId="50EC3A28" w14:textId="77777777">
        <w:trPr>
          <w:jc w:val="center"/>
        </w:trPr>
        <w:tc>
          <w:tcPr>
            <w:tcW w:w="1757" w:type="dxa"/>
            <w:shd w:val="clear" w:color="auto" w:fill="E8F1FB"/>
            <w:tcMar>
              <w:top w:w="75" w:type="dxa"/>
              <w:left w:w="95" w:type="dxa"/>
              <w:bottom w:w="75" w:type="dxa"/>
              <w:right w:w="95" w:type="dxa"/>
            </w:tcMar>
            <w:vAlign w:val="center"/>
          </w:tcPr>
          <w:p w14:paraId="4B7F03C8" w14:textId="77777777" w:rsidR="004E1F7E" w:rsidRDefault="00000000">
            <w:pPr>
              <w:spacing w:after="0"/>
            </w:pPr>
            <w:r>
              <w:rPr>
                <w:b/>
                <w:color w:val="0067A5"/>
                <w:sz w:val="17"/>
              </w:rPr>
              <w:t>Pay Range</w:t>
            </w:r>
          </w:p>
        </w:tc>
        <w:tc>
          <w:tcPr>
            <w:tcW w:w="2966" w:type="dxa"/>
            <w:tcMar>
              <w:top w:w="75" w:type="dxa"/>
              <w:left w:w="95" w:type="dxa"/>
              <w:bottom w:w="75" w:type="dxa"/>
              <w:right w:w="95" w:type="dxa"/>
            </w:tcMar>
            <w:vAlign w:val="center"/>
          </w:tcPr>
          <w:p w14:paraId="62C0E632" w14:textId="69BC3BFD" w:rsidR="004E1F7E" w:rsidRDefault="00000000">
            <w:pPr>
              <w:spacing w:after="0"/>
            </w:pPr>
            <w:r>
              <w:rPr>
                <w:sz w:val="17"/>
              </w:rPr>
              <w:t>$29 - $3</w:t>
            </w:r>
            <w:r w:rsidR="00B0055C">
              <w:rPr>
                <w:sz w:val="17"/>
              </w:rPr>
              <w:t>1</w:t>
            </w:r>
            <w:r>
              <w:rPr>
                <w:sz w:val="17"/>
              </w:rPr>
              <w:t xml:space="preserve"> per hour</w:t>
            </w:r>
          </w:p>
        </w:tc>
        <w:tc>
          <w:tcPr>
            <w:tcW w:w="1800" w:type="dxa"/>
            <w:shd w:val="clear" w:color="auto" w:fill="E8F1FB"/>
            <w:tcMar>
              <w:top w:w="75" w:type="dxa"/>
              <w:left w:w="95" w:type="dxa"/>
              <w:bottom w:w="75" w:type="dxa"/>
              <w:right w:w="95" w:type="dxa"/>
            </w:tcMar>
            <w:vAlign w:val="center"/>
          </w:tcPr>
          <w:p w14:paraId="1D4C0480" w14:textId="77777777" w:rsidR="004E1F7E" w:rsidRDefault="00000000">
            <w:pPr>
              <w:spacing w:after="0"/>
            </w:pPr>
            <w:r>
              <w:rPr>
                <w:b/>
                <w:color w:val="0067A5"/>
                <w:sz w:val="17"/>
              </w:rPr>
              <w:t>Date Revised</w:t>
            </w:r>
          </w:p>
        </w:tc>
        <w:tc>
          <w:tcPr>
            <w:tcW w:w="3211" w:type="dxa"/>
            <w:tcMar>
              <w:top w:w="75" w:type="dxa"/>
              <w:left w:w="95" w:type="dxa"/>
              <w:bottom w:w="75" w:type="dxa"/>
              <w:right w:w="95" w:type="dxa"/>
            </w:tcMar>
            <w:vAlign w:val="center"/>
          </w:tcPr>
          <w:p w14:paraId="08557167" w14:textId="77777777" w:rsidR="004E1F7E" w:rsidRDefault="00000000">
            <w:pPr>
              <w:spacing w:after="0"/>
            </w:pPr>
            <w:r>
              <w:rPr>
                <w:sz w:val="17"/>
              </w:rPr>
              <w:t>September 2026</w:t>
            </w:r>
          </w:p>
        </w:tc>
      </w:tr>
    </w:tbl>
    <w:p w14:paraId="15B3E924" w14:textId="77777777" w:rsidR="00B0055C" w:rsidRPr="00B0055C" w:rsidRDefault="00B0055C" w:rsidP="00B0055C">
      <w:pPr>
        <w:keepNext/>
        <w:pBdr>
          <w:bottom w:val="single" w:sz="15" w:space="3" w:color="F4C430"/>
        </w:pBdr>
        <w:spacing w:before="160" w:after="80"/>
        <w:rPr>
          <w:b/>
          <w:color w:val="0067A5"/>
          <w:sz w:val="20"/>
          <w:szCs w:val="20"/>
        </w:rPr>
      </w:pPr>
    </w:p>
    <w:p w14:paraId="11800426" w14:textId="53DA9B0D" w:rsidR="004E1F7E" w:rsidRDefault="00000000">
      <w:pPr>
        <w:keepNext/>
        <w:pBdr>
          <w:bottom w:val="single" w:sz="15" w:space="3" w:color="F4C430"/>
        </w:pBdr>
        <w:spacing w:before="160" w:after="80"/>
      </w:pPr>
      <w:r>
        <w:rPr>
          <w:b/>
          <w:color w:val="0067A5"/>
          <w:sz w:val="28"/>
        </w:rPr>
        <w:t>Position Summary</w:t>
      </w:r>
    </w:p>
    <w:p w14:paraId="772BE3B1" w14:textId="77777777" w:rsidR="004E1F7E" w:rsidRDefault="00000000">
      <w:pPr>
        <w:spacing w:after="100" w:line="252" w:lineRule="auto"/>
      </w:pPr>
      <w:r>
        <w:t>The Operations Specialist works closely with Finance, Development and Wish team staff to maintain reliable records, process transactions, support donor stewardship, and ensure documentation is complete, organized, and readily available for operational and audit needs. They will provide accurate, timely administrative and operational support across donor database management, donor acknowledgments, gift processing, financial data processing, and audit documentation.</w:t>
      </w:r>
    </w:p>
    <w:p w14:paraId="29D5BBC7" w14:textId="77777777" w:rsidR="00B0055C" w:rsidRPr="00B0055C" w:rsidRDefault="00B0055C" w:rsidP="00B0055C">
      <w:pPr>
        <w:keepNext/>
        <w:pBdr>
          <w:bottom w:val="single" w:sz="15" w:space="3" w:color="F4C430"/>
        </w:pBdr>
        <w:spacing w:before="160" w:after="80"/>
        <w:rPr>
          <w:b/>
          <w:color w:val="0067A5"/>
          <w:sz w:val="20"/>
          <w:szCs w:val="20"/>
        </w:rPr>
      </w:pPr>
    </w:p>
    <w:p w14:paraId="69CAFED9" w14:textId="0380E21B" w:rsidR="004E1F7E" w:rsidRDefault="00000000">
      <w:pPr>
        <w:keepNext/>
        <w:pBdr>
          <w:bottom w:val="single" w:sz="15" w:space="3" w:color="F4C430"/>
        </w:pBdr>
        <w:spacing w:before="160" w:after="80"/>
      </w:pPr>
      <w:r>
        <w:rPr>
          <w:b/>
          <w:color w:val="0067A5"/>
          <w:sz w:val="28"/>
        </w:rPr>
        <w:t>Essential Duties and Responsibilities</w:t>
      </w:r>
    </w:p>
    <w:p w14:paraId="2B9FCD49" w14:textId="77777777" w:rsidR="004E1F7E" w:rsidRDefault="00000000">
      <w:pPr>
        <w:keepNext/>
        <w:spacing w:before="100" w:after="40"/>
      </w:pPr>
      <w:r>
        <w:rPr>
          <w:b/>
          <w:sz w:val="20"/>
        </w:rPr>
        <w:t>CRM &amp; Database Management (30%)</w:t>
      </w:r>
    </w:p>
    <w:p w14:paraId="2C932610" w14:textId="77777777" w:rsidR="004E1F7E" w:rsidRDefault="00000000">
      <w:pPr>
        <w:pStyle w:val="PostingBullet"/>
        <w:keepLines/>
      </w:pPr>
      <w:r>
        <w:t>•  Maintain accurate and complete constituent, donor, gift, campaign, appeal, and activity records in the CRM/database.</w:t>
      </w:r>
    </w:p>
    <w:p w14:paraId="242804AA" w14:textId="77777777" w:rsidR="004E1F7E" w:rsidRDefault="00000000">
      <w:pPr>
        <w:pStyle w:val="PostingBullet"/>
        <w:keepLines/>
      </w:pPr>
      <w:r>
        <w:t>•  Enter, update, review, and standardize data in accordance with established procedures and data-quality standards.</w:t>
      </w:r>
    </w:p>
    <w:p w14:paraId="2E47A0DC" w14:textId="77777777" w:rsidR="004E1F7E" w:rsidRDefault="00000000">
      <w:pPr>
        <w:pStyle w:val="PostingBullet"/>
        <w:keepLines/>
      </w:pPr>
      <w:r>
        <w:t>•  Research and resolve duplicate records, incomplete information, coding discrepancies, and other database issues.</w:t>
      </w:r>
    </w:p>
    <w:p w14:paraId="0CF2ED1E" w14:textId="77777777" w:rsidR="004E1F7E" w:rsidRDefault="00000000">
      <w:pPr>
        <w:pStyle w:val="PostingBullet"/>
        <w:keepLines/>
      </w:pPr>
      <w:r>
        <w:t>•  Generate routine reports, lists, and exports to support chapter reporting needs.</w:t>
      </w:r>
    </w:p>
    <w:p w14:paraId="5E7F5F87" w14:textId="77777777" w:rsidR="004E1F7E" w:rsidRDefault="00000000">
      <w:pPr>
        <w:pStyle w:val="PostingBullet"/>
        <w:keepLines/>
      </w:pPr>
      <w:r>
        <w:t>•  Protect confidential donor and organizational information and follow access, privacy, and record-retention requirements.</w:t>
      </w:r>
    </w:p>
    <w:p w14:paraId="5780B0C2" w14:textId="77777777" w:rsidR="004E1F7E" w:rsidRDefault="00000000">
      <w:pPr>
        <w:keepNext/>
        <w:spacing w:before="100" w:after="40"/>
      </w:pPr>
      <w:r>
        <w:rPr>
          <w:b/>
          <w:sz w:val="20"/>
        </w:rPr>
        <w:t>Donor Acknowledgments (20%)</w:t>
      </w:r>
    </w:p>
    <w:p w14:paraId="7F09DFD5" w14:textId="77777777" w:rsidR="004E1F7E" w:rsidRDefault="00000000">
      <w:pPr>
        <w:pStyle w:val="PostingBullet"/>
        <w:keepLines/>
      </w:pPr>
      <w:r>
        <w:t>•  Prepare and distribute timely, accurate donor acknowledgments and receipts in compliance with applicable regulatory requirements.</w:t>
      </w:r>
    </w:p>
    <w:p w14:paraId="38DCFB05" w14:textId="77777777" w:rsidR="004E1F7E" w:rsidRDefault="00000000">
      <w:pPr>
        <w:pStyle w:val="PostingBullet"/>
        <w:keepLines/>
      </w:pPr>
      <w:r>
        <w:t>•  Coordinate with Development staff to identify gifts requiring personalized stewardship, special handling, or follow-up.</w:t>
      </w:r>
    </w:p>
    <w:p w14:paraId="1096C669" w14:textId="77777777" w:rsidR="004E1F7E" w:rsidRDefault="00000000">
      <w:pPr>
        <w:pStyle w:val="PostingBullet"/>
        <w:keepLines/>
      </w:pPr>
      <w:r>
        <w:t>•  Maintain supporting records and documentation for acknowledgment activity and donor inquiries.</w:t>
      </w:r>
    </w:p>
    <w:p w14:paraId="03466A96" w14:textId="77777777" w:rsidR="004E1F7E" w:rsidRDefault="00000000">
      <w:pPr>
        <w:keepNext/>
        <w:spacing w:before="100" w:after="40"/>
      </w:pPr>
      <w:r>
        <w:rPr>
          <w:b/>
          <w:sz w:val="20"/>
        </w:rPr>
        <w:t>Gift Processing (25%)</w:t>
      </w:r>
    </w:p>
    <w:p w14:paraId="3F73B80F" w14:textId="77777777" w:rsidR="004E1F7E" w:rsidRDefault="00000000">
      <w:pPr>
        <w:pStyle w:val="PostingBullet"/>
        <w:keepLines/>
      </w:pPr>
      <w:r>
        <w:t>•  Process gifts received through various methods and platforms, events, and other approved channels.</w:t>
      </w:r>
    </w:p>
    <w:p w14:paraId="556900CD" w14:textId="77777777" w:rsidR="004E1F7E" w:rsidRDefault="00000000">
      <w:pPr>
        <w:pStyle w:val="PostingBullet"/>
        <w:keepLines/>
      </w:pPr>
      <w:r>
        <w:t>•  Assist with daily mail for proper segregation of duties and gift processing.</w:t>
      </w:r>
    </w:p>
    <w:p w14:paraId="385091CA" w14:textId="77777777" w:rsidR="004E1F7E" w:rsidRDefault="00000000">
      <w:pPr>
        <w:pStyle w:val="PostingBullet"/>
        <w:keepLines/>
      </w:pPr>
      <w:r>
        <w:t>•  Prepare gift batches, including coding and supporting documentation, and coordinate with Finance to reconcile CRM activity to deposits and accounting records.</w:t>
      </w:r>
    </w:p>
    <w:p w14:paraId="05F5B9A5" w14:textId="77777777" w:rsidR="004E1F7E" w:rsidRDefault="00000000">
      <w:pPr>
        <w:pStyle w:val="PostingBullet"/>
        <w:keepLines/>
      </w:pPr>
      <w:r>
        <w:t>•  Research and resolve gift-processing discrepancies, returned payments, refunds, chargebacks, and incomplete gift information.</w:t>
      </w:r>
    </w:p>
    <w:p w14:paraId="3EDF9874" w14:textId="77777777" w:rsidR="004E1F7E" w:rsidRDefault="00000000">
      <w:pPr>
        <w:pStyle w:val="PostingBullet"/>
        <w:keepLines/>
      </w:pPr>
      <w:r>
        <w:t>•  Follow internal controls, segregation-of-duties requirements, cash-handling procedures, and confidentiality standards.</w:t>
      </w:r>
    </w:p>
    <w:p w14:paraId="22E865BF" w14:textId="77777777" w:rsidR="004E1F7E" w:rsidRDefault="00000000">
      <w:pPr>
        <w:keepNext/>
        <w:spacing w:before="100" w:after="40"/>
      </w:pPr>
      <w:r>
        <w:rPr>
          <w:b/>
          <w:sz w:val="20"/>
        </w:rPr>
        <w:t>Financial Data Processing &amp; Administrative Support (15%)</w:t>
      </w:r>
    </w:p>
    <w:p w14:paraId="48940E6D" w14:textId="77777777" w:rsidR="004E1F7E" w:rsidRDefault="00000000">
      <w:pPr>
        <w:pStyle w:val="PostingBullet"/>
        <w:keepLines/>
      </w:pPr>
      <w:r>
        <w:t>•  Provide administrative support for expense transaction coding for Wish, Development, and Operations teams.</w:t>
      </w:r>
    </w:p>
    <w:p w14:paraId="72FA54B8" w14:textId="77777777" w:rsidR="004E1F7E" w:rsidRDefault="00000000">
      <w:pPr>
        <w:pStyle w:val="PostingBullet"/>
        <w:keepLines/>
      </w:pPr>
      <w:r>
        <w:t>•  Compile and validate information from source documents before entry and follow up on missing or inconsistent data.</w:t>
      </w:r>
    </w:p>
    <w:p w14:paraId="089110FB" w14:textId="77777777" w:rsidR="004E1F7E" w:rsidRDefault="00000000">
      <w:pPr>
        <w:pStyle w:val="PostingBullet"/>
        <w:keepLines/>
      </w:pPr>
      <w:r>
        <w:t>•  Maintain organized electronic files and supporting documentation in accordance with established naming, approval, and retention practices.</w:t>
      </w:r>
    </w:p>
    <w:p w14:paraId="404523A8" w14:textId="77777777" w:rsidR="004E1F7E" w:rsidRDefault="00000000">
      <w:pPr>
        <w:pStyle w:val="PostingBullet"/>
        <w:keepLines/>
      </w:pPr>
      <w:r>
        <w:t>•  Assist with recurring operational projects, vendor records, mail processing, and other administrative tasks assigned by the Vice President of Finance and Operations.</w:t>
      </w:r>
    </w:p>
    <w:p w14:paraId="3775BFE5" w14:textId="77777777" w:rsidR="004E1F7E" w:rsidRDefault="00000000">
      <w:pPr>
        <w:keepNext/>
        <w:spacing w:before="100" w:after="40"/>
      </w:pPr>
      <w:r>
        <w:rPr>
          <w:b/>
          <w:sz w:val="20"/>
        </w:rPr>
        <w:lastRenderedPageBreak/>
        <w:t>Audit File Maintenance &amp; Compliance Support (10%)</w:t>
      </w:r>
    </w:p>
    <w:p w14:paraId="3B4F8231" w14:textId="77777777" w:rsidR="004E1F7E" w:rsidRDefault="00000000">
      <w:pPr>
        <w:pStyle w:val="PostingBullet"/>
        <w:keepLines/>
      </w:pPr>
      <w:r>
        <w:t>•  Maintain organized files for audit support, including gift records, deposits, reconciliations, approvals, acknowledgments, and other requested documentation.</w:t>
      </w:r>
    </w:p>
    <w:p w14:paraId="74426F02" w14:textId="77777777" w:rsidR="004E1F7E" w:rsidRDefault="00000000">
      <w:pPr>
        <w:pStyle w:val="PostingBullet"/>
        <w:keepLines/>
      </w:pPr>
      <w:r>
        <w:t>•  Conduct an annual internal audit check of selected operational and financial processes.</w:t>
      </w:r>
    </w:p>
    <w:p w14:paraId="33A99E6E" w14:textId="77777777" w:rsidR="004E1F7E" w:rsidRDefault="00000000">
      <w:pPr>
        <w:pStyle w:val="PostingBullet"/>
        <w:keepLines/>
      </w:pPr>
      <w:r>
        <w:t>•  Track document requests and help ensure files are complete, clearly labeled, and available by established deadlines.</w:t>
      </w:r>
    </w:p>
    <w:p w14:paraId="17CE2407" w14:textId="77777777" w:rsidR="00B0055C" w:rsidRPr="00B0055C" w:rsidRDefault="00B0055C" w:rsidP="00B0055C">
      <w:pPr>
        <w:keepNext/>
        <w:pBdr>
          <w:bottom w:val="single" w:sz="15" w:space="3" w:color="F4C430"/>
        </w:pBdr>
        <w:spacing w:before="160" w:after="80"/>
        <w:rPr>
          <w:b/>
          <w:color w:val="0067A5"/>
          <w:sz w:val="20"/>
          <w:szCs w:val="20"/>
        </w:rPr>
      </w:pPr>
    </w:p>
    <w:p w14:paraId="0D2FC1CC" w14:textId="5E1C0F2A" w:rsidR="004E1F7E" w:rsidRDefault="00000000">
      <w:pPr>
        <w:keepNext/>
        <w:pBdr>
          <w:bottom w:val="single" w:sz="15" w:space="3" w:color="F4C430"/>
        </w:pBdr>
        <w:spacing w:before="160" w:after="80"/>
      </w:pPr>
      <w:r>
        <w:rPr>
          <w:b/>
          <w:color w:val="0067A5"/>
          <w:sz w:val="28"/>
        </w:rPr>
        <w:t>Qualifications</w:t>
      </w:r>
    </w:p>
    <w:p w14:paraId="7C2A6ECC" w14:textId="77777777" w:rsidR="004E1F7E" w:rsidRDefault="00000000">
      <w:pPr>
        <w:keepNext/>
        <w:spacing w:before="100" w:after="40"/>
      </w:pPr>
      <w:r>
        <w:rPr>
          <w:b/>
          <w:sz w:val="20"/>
        </w:rPr>
        <w:t>Required</w:t>
      </w:r>
    </w:p>
    <w:p w14:paraId="02E97117" w14:textId="77777777" w:rsidR="004E1F7E" w:rsidRDefault="00000000">
      <w:pPr>
        <w:pStyle w:val="PostingBullet"/>
        <w:keepLines/>
      </w:pPr>
      <w:r>
        <w:t>•  Valid California Driver’s License and proof of insurance.</w:t>
      </w:r>
    </w:p>
    <w:p w14:paraId="50A41EE6" w14:textId="77777777" w:rsidR="004E1F7E" w:rsidRDefault="00000000">
      <w:pPr>
        <w:pStyle w:val="PostingBullet"/>
        <w:keepLines/>
      </w:pPr>
      <w:r>
        <w:t>•  Associate degree or an equivalent combination of education and relevant administrative, database, finance, or nonprofit experience.</w:t>
      </w:r>
    </w:p>
    <w:p w14:paraId="43424974" w14:textId="77777777" w:rsidR="004E1F7E" w:rsidRDefault="00000000">
      <w:pPr>
        <w:pStyle w:val="PostingBullet"/>
        <w:keepLines/>
      </w:pPr>
      <w:r>
        <w:t>•  At least two years of experience in operations, administration, data entry, gift processing, finance support, donor services, or a related area.</w:t>
      </w:r>
    </w:p>
    <w:p w14:paraId="6108C732" w14:textId="77777777" w:rsidR="004E1F7E" w:rsidRDefault="00000000">
      <w:pPr>
        <w:pStyle w:val="PostingBullet"/>
        <w:keepLines/>
      </w:pPr>
      <w:r>
        <w:t>•  High degree of accuracy, attention to detail, organization, and follow-through.</w:t>
      </w:r>
    </w:p>
    <w:p w14:paraId="28CEC420" w14:textId="77777777" w:rsidR="004E1F7E" w:rsidRDefault="00000000">
      <w:pPr>
        <w:pStyle w:val="PostingBullet"/>
        <w:keepLines/>
      </w:pPr>
      <w:r>
        <w:t>•  Ability to manage recurring deadlines, prioritize multiple assignments, and identify and resolve discrepancies.</w:t>
      </w:r>
    </w:p>
    <w:p w14:paraId="1F46B5E0" w14:textId="77777777" w:rsidR="004E1F7E" w:rsidRDefault="00000000">
      <w:pPr>
        <w:pStyle w:val="PostingBullet"/>
        <w:keepLines/>
      </w:pPr>
      <w:r>
        <w:t>•  Proficiency with Microsoft Office, particularly Excel, Word, Outlook, and shared electronic filing systems.</w:t>
      </w:r>
    </w:p>
    <w:p w14:paraId="76BC1954" w14:textId="77777777" w:rsidR="004E1F7E" w:rsidRDefault="00000000">
      <w:pPr>
        <w:pStyle w:val="PostingBullet"/>
        <w:keepLines/>
      </w:pPr>
      <w:r>
        <w:t>•  Strong written and verbal communication skills and the ability to provide responsive internal and external customer service.</w:t>
      </w:r>
    </w:p>
    <w:p w14:paraId="2924AC3F" w14:textId="77777777" w:rsidR="004E1F7E" w:rsidRDefault="00000000">
      <w:pPr>
        <w:pStyle w:val="PostingBullet"/>
        <w:keepLines/>
      </w:pPr>
      <w:r>
        <w:t>•  Ability to handle confidential donor, employee, and financial information with discretion.</w:t>
      </w:r>
    </w:p>
    <w:p w14:paraId="7EF0A2C2" w14:textId="77777777" w:rsidR="004E1F7E" w:rsidRDefault="00000000">
      <w:pPr>
        <w:keepNext/>
        <w:spacing w:before="100" w:after="40"/>
      </w:pPr>
      <w:r>
        <w:rPr>
          <w:b/>
          <w:sz w:val="20"/>
        </w:rPr>
        <w:t>Preferred</w:t>
      </w:r>
    </w:p>
    <w:p w14:paraId="70A0DD51" w14:textId="77777777" w:rsidR="004E1F7E" w:rsidRDefault="00000000">
      <w:pPr>
        <w:pStyle w:val="PostingBullet"/>
        <w:keepLines/>
      </w:pPr>
      <w:r>
        <w:t>•  Experience with Salesforce or another donor database/CRM system.</w:t>
      </w:r>
    </w:p>
    <w:p w14:paraId="66575B8B" w14:textId="77777777" w:rsidR="004E1F7E" w:rsidRDefault="00000000">
      <w:pPr>
        <w:pStyle w:val="PostingBullet"/>
        <w:keepLines/>
      </w:pPr>
      <w:r>
        <w:t>•  Experience with nonprofit gift processing, donor acknowledgments, deposits, reconciliations, or audit support.</w:t>
      </w:r>
    </w:p>
    <w:p w14:paraId="405FCBB9" w14:textId="77777777" w:rsidR="004E1F7E" w:rsidRDefault="00000000">
      <w:pPr>
        <w:pStyle w:val="PostingBullet"/>
        <w:keepLines/>
      </w:pPr>
      <w:r>
        <w:t>•  Familiarity with basic accounting concepts, internal controls, database reporting, and record-retention practices.</w:t>
      </w:r>
    </w:p>
    <w:p w14:paraId="27CEFED0" w14:textId="77777777" w:rsidR="00B0055C" w:rsidRPr="00B0055C" w:rsidRDefault="00B0055C" w:rsidP="00B0055C">
      <w:pPr>
        <w:keepNext/>
        <w:pBdr>
          <w:bottom w:val="single" w:sz="15" w:space="3" w:color="F4C430"/>
        </w:pBdr>
        <w:spacing w:before="160" w:after="80"/>
        <w:rPr>
          <w:b/>
          <w:color w:val="0067A5"/>
          <w:sz w:val="20"/>
          <w:szCs w:val="20"/>
        </w:rPr>
      </w:pPr>
    </w:p>
    <w:p w14:paraId="36174516" w14:textId="4EAD9BEB" w:rsidR="004E1F7E" w:rsidRDefault="003E12D7">
      <w:pPr>
        <w:keepNext/>
        <w:pBdr>
          <w:bottom w:val="single" w:sz="15" w:space="3" w:color="F4C430"/>
        </w:pBdr>
        <w:spacing w:before="160" w:after="80"/>
      </w:pPr>
      <w:r>
        <w:rPr>
          <w:b/>
          <w:color w:val="0067A5"/>
          <w:sz w:val="28"/>
        </w:rPr>
        <w:t>Key</w:t>
      </w:r>
      <w:r w:rsidR="00000000">
        <w:rPr>
          <w:b/>
          <w:color w:val="0067A5"/>
          <w:sz w:val="28"/>
        </w:rPr>
        <w:t xml:space="preserve"> Competencies</w:t>
      </w:r>
    </w:p>
    <w:tbl>
      <w:tblPr>
        <w:tblW w:w="0" w:type="auto"/>
        <w:jc w:val="center"/>
        <w:tblBorders>
          <w:top w:val="single" w:sz="4" w:space="0" w:color="B9C3CC"/>
          <w:left w:val="single" w:sz="4" w:space="0" w:color="B9C3CC"/>
          <w:bottom w:val="single" w:sz="4" w:space="0" w:color="B9C3CC"/>
          <w:right w:val="single" w:sz="4" w:space="0" w:color="B9C3CC"/>
          <w:insideH w:val="single" w:sz="4" w:space="0" w:color="B9C3CC"/>
          <w:insideV w:val="single" w:sz="4" w:space="0" w:color="B9C3CC"/>
        </w:tblBorders>
        <w:tblLayout w:type="fixed"/>
        <w:tblLook w:val="04A0" w:firstRow="1" w:lastRow="0" w:firstColumn="1" w:lastColumn="0" w:noHBand="0" w:noVBand="1"/>
      </w:tblPr>
      <w:tblGrid>
        <w:gridCol w:w="5170"/>
        <w:gridCol w:w="5170"/>
      </w:tblGrid>
      <w:tr w:rsidR="004E1F7E" w14:paraId="120D02C2" w14:textId="77777777">
        <w:trPr>
          <w:jc w:val="center"/>
        </w:trPr>
        <w:tc>
          <w:tcPr>
            <w:tcW w:w="5170" w:type="dxa"/>
            <w:shd w:val="clear" w:color="auto" w:fill="0167B9"/>
            <w:tcMar>
              <w:top w:w="65" w:type="dxa"/>
              <w:left w:w="100" w:type="dxa"/>
              <w:bottom w:w="65" w:type="dxa"/>
              <w:right w:w="100" w:type="dxa"/>
            </w:tcMar>
          </w:tcPr>
          <w:p w14:paraId="35C21E68" w14:textId="77777777" w:rsidR="004E1F7E" w:rsidRDefault="00000000">
            <w:r>
              <w:rPr>
                <w:b/>
                <w:color w:val="FFFFFF"/>
              </w:rPr>
              <w:t>Accuracy and Attention to Detail</w:t>
            </w:r>
          </w:p>
        </w:tc>
        <w:tc>
          <w:tcPr>
            <w:tcW w:w="5170" w:type="dxa"/>
            <w:shd w:val="clear" w:color="auto" w:fill="0167B9"/>
            <w:tcMar>
              <w:top w:w="65" w:type="dxa"/>
              <w:left w:w="100" w:type="dxa"/>
              <w:bottom w:w="65" w:type="dxa"/>
              <w:right w:w="100" w:type="dxa"/>
            </w:tcMar>
          </w:tcPr>
          <w:p w14:paraId="73154535" w14:textId="77777777" w:rsidR="004E1F7E" w:rsidRDefault="00000000">
            <w:r>
              <w:rPr>
                <w:b/>
                <w:color w:val="FFFFFF"/>
              </w:rPr>
              <w:t>Database Management</w:t>
            </w:r>
          </w:p>
        </w:tc>
      </w:tr>
      <w:tr w:rsidR="004E1F7E" w14:paraId="58405A96" w14:textId="77777777">
        <w:trPr>
          <w:jc w:val="center"/>
        </w:trPr>
        <w:tc>
          <w:tcPr>
            <w:tcW w:w="5170" w:type="dxa"/>
            <w:tcMar>
              <w:top w:w="65" w:type="dxa"/>
              <w:left w:w="100" w:type="dxa"/>
              <w:bottom w:w="65" w:type="dxa"/>
              <w:right w:w="100" w:type="dxa"/>
            </w:tcMar>
          </w:tcPr>
          <w:p w14:paraId="182F93BC" w14:textId="77777777" w:rsidR="004E1F7E" w:rsidRDefault="00000000">
            <w:r>
              <w:rPr>
                <w:b/>
              </w:rPr>
              <w:t>Gift Processing and Donor Service</w:t>
            </w:r>
          </w:p>
        </w:tc>
        <w:tc>
          <w:tcPr>
            <w:tcW w:w="5170" w:type="dxa"/>
            <w:tcMar>
              <w:top w:w="65" w:type="dxa"/>
              <w:left w:w="100" w:type="dxa"/>
              <w:bottom w:w="65" w:type="dxa"/>
              <w:right w:w="100" w:type="dxa"/>
            </w:tcMar>
          </w:tcPr>
          <w:p w14:paraId="7443632B" w14:textId="77777777" w:rsidR="004E1F7E" w:rsidRDefault="00000000">
            <w:r>
              <w:rPr>
                <w:b/>
              </w:rPr>
              <w:t>Financial Data Processing</w:t>
            </w:r>
          </w:p>
        </w:tc>
      </w:tr>
      <w:tr w:rsidR="004E1F7E" w14:paraId="26E00317" w14:textId="77777777">
        <w:trPr>
          <w:jc w:val="center"/>
        </w:trPr>
        <w:tc>
          <w:tcPr>
            <w:tcW w:w="5170" w:type="dxa"/>
            <w:tcMar>
              <w:top w:w="65" w:type="dxa"/>
              <w:left w:w="100" w:type="dxa"/>
              <w:bottom w:w="65" w:type="dxa"/>
              <w:right w:w="100" w:type="dxa"/>
            </w:tcMar>
          </w:tcPr>
          <w:p w14:paraId="37E010F9" w14:textId="77777777" w:rsidR="004E1F7E" w:rsidRDefault="00000000">
            <w:r>
              <w:rPr>
                <w:b/>
              </w:rPr>
              <w:t>Documentation and Confidentiality</w:t>
            </w:r>
          </w:p>
        </w:tc>
        <w:tc>
          <w:tcPr>
            <w:tcW w:w="5170" w:type="dxa"/>
            <w:tcMar>
              <w:top w:w="65" w:type="dxa"/>
              <w:left w:w="100" w:type="dxa"/>
              <w:bottom w:w="65" w:type="dxa"/>
              <w:right w:w="100" w:type="dxa"/>
            </w:tcMar>
          </w:tcPr>
          <w:p w14:paraId="29F7EA30" w14:textId="77777777" w:rsidR="004E1F7E" w:rsidRDefault="00000000">
            <w:r>
              <w:rPr>
                <w:b/>
              </w:rPr>
              <w:t>Internal Controls</w:t>
            </w:r>
          </w:p>
        </w:tc>
      </w:tr>
      <w:tr w:rsidR="004E1F7E" w14:paraId="27E75A7D" w14:textId="77777777">
        <w:trPr>
          <w:jc w:val="center"/>
        </w:trPr>
        <w:tc>
          <w:tcPr>
            <w:tcW w:w="5170" w:type="dxa"/>
            <w:tcMar>
              <w:top w:w="65" w:type="dxa"/>
              <w:left w:w="100" w:type="dxa"/>
              <w:bottom w:w="65" w:type="dxa"/>
              <w:right w:w="100" w:type="dxa"/>
            </w:tcMar>
          </w:tcPr>
          <w:p w14:paraId="7AE3400D" w14:textId="77777777" w:rsidR="004E1F7E" w:rsidRDefault="00000000">
            <w:r>
              <w:rPr>
                <w:b/>
              </w:rPr>
              <w:t>Organization and Time Management</w:t>
            </w:r>
          </w:p>
        </w:tc>
        <w:tc>
          <w:tcPr>
            <w:tcW w:w="5170" w:type="dxa"/>
            <w:tcMar>
              <w:top w:w="65" w:type="dxa"/>
              <w:left w:w="100" w:type="dxa"/>
              <w:bottom w:w="65" w:type="dxa"/>
              <w:right w:w="100" w:type="dxa"/>
            </w:tcMar>
          </w:tcPr>
          <w:p w14:paraId="7B1D237D" w14:textId="77777777" w:rsidR="004E1F7E" w:rsidRDefault="00000000">
            <w:r>
              <w:rPr>
                <w:b/>
              </w:rPr>
              <w:t>Problem Solving</w:t>
            </w:r>
          </w:p>
        </w:tc>
      </w:tr>
      <w:tr w:rsidR="004E1F7E" w14:paraId="0AEDA945" w14:textId="77777777">
        <w:trPr>
          <w:jc w:val="center"/>
        </w:trPr>
        <w:tc>
          <w:tcPr>
            <w:tcW w:w="5170" w:type="dxa"/>
            <w:tcMar>
              <w:top w:w="65" w:type="dxa"/>
              <w:left w:w="100" w:type="dxa"/>
              <w:bottom w:w="65" w:type="dxa"/>
              <w:right w:w="100" w:type="dxa"/>
            </w:tcMar>
          </w:tcPr>
          <w:p w14:paraId="71872C6C" w14:textId="77777777" w:rsidR="004E1F7E" w:rsidRDefault="00000000">
            <w:r>
              <w:rPr>
                <w:b/>
              </w:rPr>
              <w:t>Collaboration and Customer Service</w:t>
            </w:r>
          </w:p>
        </w:tc>
        <w:tc>
          <w:tcPr>
            <w:tcW w:w="5170" w:type="dxa"/>
            <w:tcMar>
              <w:top w:w="65" w:type="dxa"/>
              <w:left w:w="100" w:type="dxa"/>
              <w:bottom w:w="65" w:type="dxa"/>
              <w:right w:w="100" w:type="dxa"/>
            </w:tcMar>
          </w:tcPr>
          <w:p w14:paraId="69C02238" w14:textId="77777777" w:rsidR="004E1F7E" w:rsidRDefault="00000000">
            <w:r>
              <w:rPr>
                <w:b/>
              </w:rPr>
              <w:t>Accountability</w:t>
            </w:r>
          </w:p>
        </w:tc>
      </w:tr>
    </w:tbl>
    <w:p w14:paraId="51F8CBB8" w14:textId="77777777" w:rsidR="00B0055C" w:rsidRPr="00B0055C" w:rsidRDefault="00B0055C" w:rsidP="00B0055C">
      <w:pPr>
        <w:keepNext/>
        <w:pBdr>
          <w:bottom w:val="single" w:sz="15" w:space="3" w:color="F4C430"/>
        </w:pBdr>
        <w:spacing w:before="160" w:after="80"/>
        <w:rPr>
          <w:b/>
          <w:color w:val="0067A5"/>
          <w:sz w:val="20"/>
          <w:szCs w:val="20"/>
        </w:rPr>
      </w:pPr>
    </w:p>
    <w:p w14:paraId="5A837742" w14:textId="373BAD5B" w:rsidR="004E1F7E" w:rsidRDefault="00000000">
      <w:pPr>
        <w:keepNext/>
        <w:pBdr>
          <w:bottom w:val="single" w:sz="15" w:space="3" w:color="F4C430"/>
        </w:pBdr>
        <w:spacing w:before="160" w:after="80"/>
      </w:pPr>
      <w:r>
        <w:rPr>
          <w:b/>
          <w:color w:val="0067A5"/>
          <w:sz w:val="28"/>
        </w:rPr>
        <w:t>Work Environment &amp; Physical Requirements</w:t>
      </w:r>
    </w:p>
    <w:p w14:paraId="00830BDA" w14:textId="77777777" w:rsidR="004E1F7E" w:rsidRDefault="00000000">
      <w:pPr>
        <w:pStyle w:val="PostingBullet"/>
        <w:keepLines/>
      </w:pPr>
      <w:r>
        <w:t>•  This position is based in Irvine, California, with occasional regional travel as needed.</w:t>
      </w:r>
    </w:p>
    <w:p w14:paraId="3E6A5AC0" w14:textId="77777777" w:rsidR="004E1F7E" w:rsidRDefault="00000000">
      <w:pPr>
        <w:pStyle w:val="PostingBullet"/>
        <w:keepLines/>
      </w:pPr>
      <w:r>
        <w:t>•  The employee regularly sits, uses a computer and standard office equipment, communicates verbally and in writing, and participates in in-person and virtual meetings.</w:t>
      </w:r>
    </w:p>
    <w:p w14:paraId="11284634" w14:textId="77777777" w:rsidR="004E1F7E" w:rsidRDefault="00000000">
      <w:pPr>
        <w:pStyle w:val="PostingBullet"/>
        <w:keepLines/>
      </w:pPr>
      <w:r>
        <w:t>•  The employee may periodically stand, walk, bend, reach, and lift, carry, push, or pull items weighing up to 25 pounds, including mail, files, supplies, and event or office materials.</w:t>
      </w:r>
    </w:p>
    <w:p w14:paraId="5119FEA6" w14:textId="77777777" w:rsidR="004E1F7E" w:rsidRDefault="00000000">
      <w:pPr>
        <w:pStyle w:val="PostingBullet"/>
        <w:keepLines/>
      </w:pPr>
      <w:r>
        <w:t>•  Occasional evening and weekend work may be required for chapter activities.</w:t>
      </w:r>
    </w:p>
    <w:p w14:paraId="6D4B0443" w14:textId="77777777" w:rsidR="004E1F7E" w:rsidRDefault="00000000">
      <w:pPr>
        <w:pStyle w:val="PostingBullet"/>
        <w:keepLines/>
      </w:pPr>
      <w:r>
        <w:t>•  Working safely is a condition of employment. Make-A-Wish Orange County and the Inland Empire is a drug-free workplace.</w:t>
      </w:r>
    </w:p>
    <w:p w14:paraId="78A252A5" w14:textId="77777777" w:rsidR="00B0055C" w:rsidRPr="00B0055C" w:rsidRDefault="00B0055C" w:rsidP="00B0055C">
      <w:pPr>
        <w:keepNext/>
        <w:pBdr>
          <w:bottom w:val="single" w:sz="15" w:space="3" w:color="F4C430"/>
        </w:pBdr>
        <w:spacing w:before="160" w:after="80"/>
        <w:rPr>
          <w:b/>
          <w:color w:val="0067A5"/>
          <w:sz w:val="20"/>
          <w:szCs w:val="20"/>
        </w:rPr>
      </w:pPr>
    </w:p>
    <w:p w14:paraId="71EF75FF" w14:textId="55294D01" w:rsidR="004E1F7E" w:rsidRDefault="00000000">
      <w:pPr>
        <w:keepNext/>
        <w:pBdr>
          <w:bottom w:val="single" w:sz="15" w:space="3" w:color="F4C430"/>
        </w:pBdr>
        <w:spacing w:before="160" w:after="80"/>
      </w:pPr>
      <w:r>
        <w:rPr>
          <w:b/>
          <w:color w:val="0067A5"/>
          <w:sz w:val="28"/>
        </w:rPr>
        <w:t>Compensation &amp; Benefits</w:t>
      </w:r>
    </w:p>
    <w:p w14:paraId="0A8EBAFD" w14:textId="77777777" w:rsidR="004E1F7E" w:rsidRDefault="00000000">
      <w:pPr>
        <w:pStyle w:val="PostingBullet"/>
        <w:keepLines/>
      </w:pPr>
      <w:r>
        <w:t>•  This position is non-exempt and eligible for overtime in accordance with applicable federal, state, and local law.</w:t>
      </w:r>
    </w:p>
    <w:p w14:paraId="20A83F6C" w14:textId="04FE116C" w:rsidR="004E1F7E" w:rsidRDefault="00000000">
      <w:pPr>
        <w:pStyle w:val="PostingBullet"/>
        <w:keepLines/>
      </w:pPr>
      <w:r>
        <w:t>•  The pay range is $29 - $3</w:t>
      </w:r>
      <w:r w:rsidR="00B0055C">
        <w:t>1</w:t>
      </w:r>
      <w:r>
        <w:t xml:space="preserve"> per hour.</w:t>
      </w:r>
    </w:p>
    <w:p w14:paraId="7195DEF5" w14:textId="77777777" w:rsidR="004E1F7E" w:rsidRDefault="00000000">
      <w:pPr>
        <w:pStyle w:val="PostingBullet"/>
        <w:keepLines/>
      </w:pPr>
      <w:r>
        <w:t>•  Benefits may include medical, dental, vision, paid time off, paid holidays, retirement benefits, and other benefits provided to similarly situated employees, subject to plan terms and organizational policy.</w:t>
      </w:r>
    </w:p>
    <w:p w14:paraId="1D975D35" w14:textId="77777777" w:rsidR="004E1F7E" w:rsidRDefault="00000000">
      <w:pPr>
        <w:keepNext/>
        <w:pBdr>
          <w:bottom w:val="single" w:sz="15" w:space="3" w:color="F4C430"/>
        </w:pBdr>
        <w:spacing w:before="160" w:after="80"/>
      </w:pPr>
      <w:r>
        <w:rPr>
          <w:b/>
          <w:color w:val="0067A5"/>
          <w:sz w:val="28"/>
        </w:rPr>
        <w:lastRenderedPageBreak/>
        <w:t>California &amp; Employment Disclosures</w:t>
      </w:r>
    </w:p>
    <w:p w14:paraId="52DF8C00" w14:textId="77777777" w:rsidR="004E1F7E" w:rsidRDefault="00000000">
      <w:pPr>
        <w:keepNext/>
        <w:spacing w:before="100" w:after="40"/>
      </w:pPr>
      <w:r>
        <w:rPr>
          <w:b/>
          <w:sz w:val="20"/>
        </w:rPr>
        <w:t>Equal Employment Opportunity</w:t>
      </w:r>
    </w:p>
    <w:p w14:paraId="650ABC5B" w14:textId="77777777" w:rsidR="004E1F7E" w:rsidRDefault="00000000">
      <w:pPr>
        <w:spacing w:after="100" w:line="252" w:lineRule="auto"/>
      </w:pPr>
      <w:r>
        <w:t>Make-A-Wish Orange County and the Inland Empire is an Equal Opportunity Employer. The chapter provides equal employment opportunities to all applicants and employees without regard to race, color, religion, religious creed, national origin, ancestry, citizenship, age, sex, sexual orientation, gender, gender identity, gender expression, marital status, pregnancy, childbirth or related medical condition, physical or mental disability, medical condition, genetic information, military or veteran status, or any other characteristic protected by applicable federal, state, or local law.</w:t>
      </w:r>
    </w:p>
    <w:p w14:paraId="67E8DF86" w14:textId="77777777" w:rsidR="004E1F7E" w:rsidRDefault="00000000">
      <w:pPr>
        <w:keepNext/>
        <w:spacing w:before="100" w:after="40"/>
      </w:pPr>
      <w:r>
        <w:rPr>
          <w:b/>
          <w:sz w:val="20"/>
        </w:rPr>
        <w:t>Reasonable Accommodation</w:t>
      </w:r>
    </w:p>
    <w:p w14:paraId="6BD40A2B" w14:textId="77777777" w:rsidR="004E1F7E" w:rsidRDefault="00000000">
      <w:pPr>
        <w:spacing w:after="100" w:line="252" w:lineRule="auto"/>
      </w:pPr>
      <w:r>
        <w:t>Make-A-Wish Orange County and the Inland Empire provides reasonable accommodations to qualified applicants and employees with disabilities and for sincerely held religious beliefs, observances, and practices, as required by law. Applicants who need assistance or accommodation during the application process may contact the chapter.</w:t>
      </w:r>
    </w:p>
    <w:p w14:paraId="40970271" w14:textId="77777777" w:rsidR="004E1F7E" w:rsidRDefault="00000000">
      <w:pPr>
        <w:keepNext/>
        <w:spacing w:before="100" w:after="40"/>
      </w:pPr>
      <w:r>
        <w:rPr>
          <w:b/>
          <w:sz w:val="20"/>
        </w:rPr>
        <w:t>California Fair Chance Act</w:t>
      </w:r>
    </w:p>
    <w:p w14:paraId="7C457566" w14:textId="77777777" w:rsidR="004E1F7E" w:rsidRDefault="00000000">
      <w:pPr>
        <w:spacing w:after="100" w:line="252" w:lineRule="auto"/>
      </w:pPr>
      <w:r>
        <w:t>Consistent with California law, the chapter will not ask about or consider criminal history before a conditional offer of employment, unless an exception applies. If a post-offer background check is conducted, the chapter will follow applicable individualized-assessment and notice requirements before making any adverse decision based on conviction history.</w:t>
      </w:r>
    </w:p>
    <w:p w14:paraId="0FB5CDC8" w14:textId="77777777" w:rsidR="004E1F7E" w:rsidRDefault="00000000">
      <w:pPr>
        <w:keepNext/>
        <w:spacing w:before="100" w:after="40"/>
      </w:pPr>
      <w:r>
        <w:rPr>
          <w:b/>
          <w:sz w:val="20"/>
        </w:rPr>
        <w:t>Salary History</w:t>
      </w:r>
    </w:p>
    <w:p w14:paraId="4CA431B8" w14:textId="77777777" w:rsidR="004E1F7E" w:rsidRDefault="00000000">
      <w:pPr>
        <w:spacing w:after="100" w:line="252" w:lineRule="auto"/>
      </w:pPr>
      <w:r>
        <w:t>The chapter will not seek or rely on an applicant’s salary history information, including compensation and benefits, in determining whether to offer employment or what compensation to offer. Applicants may voluntarily and without prompting disclose salary history information, but prior salary will not justify any compensation disparity prohibited by law.</w:t>
      </w:r>
    </w:p>
    <w:p w14:paraId="5214454C" w14:textId="77777777" w:rsidR="004E1F7E" w:rsidRDefault="00000000">
      <w:pPr>
        <w:keepNext/>
        <w:spacing w:before="100" w:after="40"/>
      </w:pPr>
      <w:r>
        <w:rPr>
          <w:b/>
          <w:sz w:val="20"/>
        </w:rPr>
        <w:t>Background Check / Work Authorization</w:t>
      </w:r>
    </w:p>
    <w:p w14:paraId="6EB34C33" w14:textId="77777777" w:rsidR="004E1F7E" w:rsidRDefault="00000000">
      <w:pPr>
        <w:spacing w:after="100" w:line="252" w:lineRule="auto"/>
      </w:pPr>
      <w:r>
        <w:t>Any employment offer may be contingent upon satisfactory completion of applicable background checks, reference checks, and verification of authorization to work in the United States, consistent with applicable law and organizational policy.</w:t>
      </w:r>
    </w:p>
    <w:p w14:paraId="087B0F31" w14:textId="77777777" w:rsidR="00B0055C" w:rsidRPr="00B0055C" w:rsidRDefault="00B0055C">
      <w:pPr>
        <w:keepNext/>
        <w:pBdr>
          <w:bottom w:val="single" w:sz="15" w:space="3" w:color="F4C430"/>
        </w:pBdr>
        <w:spacing w:before="160" w:after="80"/>
        <w:rPr>
          <w:b/>
          <w:color w:val="0067A5"/>
          <w:sz w:val="20"/>
          <w:szCs w:val="20"/>
        </w:rPr>
      </w:pPr>
    </w:p>
    <w:p w14:paraId="6F7F2754" w14:textId="75563D50" w:rsidR="004E1F7E" w:rsidRDefault="00000000">
      <w:pPr>
        <w:keepNext/>
        <w:pBdr>
          <w:bottom w:val="single" w:sz="15" w:space="3" w:color="F4C430"/>
        </w:pBdr>
        <w:spacing w:before="160" w:after="80"/>
      </w:pPr>
      <w:r>
        <w:rPr>
          <w:b/>
          <w:color w:val="0067A5"/>
          <w:sz w:val="28"/>
        </w:rPr>
        <w:t>About Make-A-Wish Orange County and the Inland Empire</w:t>
      </w:r>
    </w:p>
    <w:p w14:paraId="7C14A372" w14:textId="77777777" w:rsidR="004E1F7E" w:rsidRDefault="00000000">
      <w:pPr>
        <w:spacing w:after="100" w:line="252" w:lineRule="auto"/>
      </w:pPr>
      <w:r>
        <w:t>Make-A-Wish Orange County and the Inland Empire creates life-changing wishes for children with critical illnesses. Through the generosity of donors, volunteers, corporate partners, and community supporters, we bring hope, strength, and joy to wish children and their families.</w:t>
      </w:r>
    </w:p>
    <w:p w14:paraId="3ECF35D7" w14:textId="77777777" w:rsidR="004E1F7E" w:rsidRDefault="00000000">
      <w:pPr>
        <w:spacing w:after="100" w:line="252" w:lineRule="auto"/>
      </w:pPr>
      <w:r>
        <w:rPr>
          <w:b/>
          <w:i/>
        </w:rPr>
        <w:t>Our vision is to grant the wish of every eligible child.</w:t>
      </w:r>
    </w:p>
    <w:p w14:paraId="07F28B0C" w14:textId="77777777" w:rsidR="00B0055C" w:rsidRPr="00B0055C" w:rsidRDefault="00B0055C" w:rsidP="00B0055C">
      <w:pPr>
        <w:keepNext/>
        <w:pBdr>
          <w:bottom w:val="single" w:sz="15" w:space="3" w:color="F4C430"/>
        </w:pBdr>
        <w:spacing w:before="160" w:after="80"/>
        <w:rPr>
          <w:b/>
          <w:color w:val="0067A5"/>
          <w:sz w:val="20"/>
          <w:szCs w:val="20"/>
        </w:rPr>
      </w:pPr>
    </w:p>
    <w:p w14:paraId="2E514276" w14:textId="74027848" w:rsidR="004E1F7E" w:rsidRDefault="00000000">
      <w:pPr>
        <w:keepNext/>
        <w:pBdr>
          <w:bottom w:val="single" w:sz="15" w:space="3" w:color="F4C430"/>
        </w:pBdr>
        <w:spacing w:before="160" w:after="80"/>
      </w:pPr>
      <w:r>
        <w:rPr>
          <w:b/>
          <w:color w:val="0067A5"/>
          <w:sz w:val="28"/>
        </w:rPr>
        <w:t>To Apply</w:t>
      </w:r>
    </w:p>
    <w:p w14:paraId="7E6F7C09" w14:textId="7D47EDB8" w:rsidR="004E1F7E" w:rsidRDefault="00000000">
      <w:pPr>
        <w:spacing w:after="100" w:line="252" w:lineRule="auto"/>
      </w:pPr>
      <w:r>
        <w:t xml:space="preserve">Please email your resume and cover letter to </w:t>
      </w:r>
      <w:hyperlink r:id="rId9" w:history="1">
        <w:r w:rsidRPr="003E12D7">
          <w:rPr>
            <w:rStyle w:val="Hyperlink"/>
          </w:rPr>
          <w:t>jobs@ocie.wish.org</w:t>
        </w:r>
      </w:hyperlink>
      <w:r>
        <w:t xml:space="preserve">. Incomplete applications will not be considered. Application period closes </w:t>
      </w:r>
      <w:r w:rsidRPr="003E12D7">
        <w:rPr>
          <w:b/>
          <w:bCs/>
        </w:rPr>
        <w:t>November 5, 2026</w:t>
      </w:r>
      <w:r>
        <w:t>.</w:t>
      </w:r>
    </w:p>
    <w:sectPr w:rsidR="004E1F7E" w:rsidSect="00034616">
      <w:headerReference w:type="even" r:id="rId10"/>
      <w:headerReference w:type="default" r:id="rId11"/>
      <w:footerReference w:type="even" r:id="rId12"/>
      <w:footerReference w:type="default" r:id="rId13"/>
      <w:headerReference w:type="first" r:id="rId14"/>
      <w:footerReference w:type="first" r:id="rId15"/>
      <w:pgSz w:w="12240" w:h="15840"/>
      <w:pgMar w:top="605" w:right="950" w:bottom="605" w:left="950" w:header="259" w:footer="25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BD451" w14:textId="77777777" w:rsidR="00EE411D" w:rsidRDefault="00EE411D">
      <w:pPr>
        <w:spacing w:after="0" w:line="240" w:lineRule="auto"/>
      </w:pPr>
      <w:r>
        <w:separator/>
      </w:r>
    </w:p>
  </w:endnote>
  <w:endnote w:type="continuationSeparator" w:id="0">
    <w:p w14:paraId="7A68A7E8" w14:textId="77777777" w:rsidR="00EE411D" w:rsidRDefault="00EE41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CBC82" w14:textId="77777777" w:rsidR="007947DC" w:rsidRDefault="007947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76924" w14:textId="77777777" w:rsidR="004E1F7E" w:rsidRDefault="00000000">
    <w:pPr>
      <w:pStyle w:val="Footer"/>
      <w:jc w:val="center"/>
    </w:pPr>
    <w:r>
      <w:rPr>
        <w:sz w:val="16"/>
      </w:rPr>
      <w:t xml:space="preserve"> | Page </w:t>
    </w:r>
    <w:r>
      <w:fldChar w:fldCharType="begin"/>
    </w:r>
    <w:r>
      <w:instrText>PAGE</w:instrText>
    </w:r>
    <w:r>
      <w:fldChar w:fldCharType="separate"/>
    </w:r>
    <w:r w:rsidR="003E12D7">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BE198" w14:textId="77777777" w:rsidR="007947DC" w:rsidRDefault="007947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1D54F4" w14:textId="77777777" w:rsidR="00EE411D" w:rsidRDefault="00EE411D">
      <w:pPr>
        <w:spacing w:after="0" w:line="240" w:lineRule="auto"/>
      </w:pPr>
      <w:r>
        <w:separator/>
      </w:r>
    </w:p>
  </w:footnote>
  <w:footnote w:type="continuationSeparator" w:id="0">
    <w:p w14:paraId="344F910E" w14:textId="77777777" w:rsidR="00EE411D" w:rsidRDefault="00EE41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14E8E" w14:textId="77777777" w:rsidR="007947DC" w:rsidRDefault="007947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6B9F6" w14:textId="77777777" w:rsidR="004E1F7E" w:rsidRDefault="00000000">
    <w:pPr>
      <w:pStyle w:val="Header"/>
      <w:jc w:val="right"/>
    </w:pPr>
    <w:r>
      <w:rPr>
        <w:b/>
        <w:color w:val="0067A5"/>
        <w:sz w:val="16"/>
      </w:rPr>
      <w:t>Make-A-Wish® Orange County and the Inland Empire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A33F0" w14:textId="77777777" w:rsidR="007947DC" w:rsidRDefault="007947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3521706">
    <w:abstractNumId w:val="8"/>
  </w:num>
  <w:num w:numId="2" w16cid:durableId="44183226">
    <w:abstractNumId w:val="6"/>
  </w:num>
  <w:num w:numId="3" w16cid:durableId="255330377">
    <w:abstractNumId w:val="5"/>
  </w:num>
  <w:num w:numId="4" w16cid:durableId="2036534036">
    <w:abstractNumId w:val="4"/>
  </w:num>
  <w:num w:numId="5" w16cid:durableId="2064908389">
    <w:abstractNumId w:val="7"/>
  </w:num>
  <w:num w:numId="6" w16cid:durableId="1641496959">
    <w:abstractNumId w:val="3"/>
  </w:num>
  <w:num w:numId="7" w16cid:durableId="513763187">
    <w:abstractNumId w:val="2"/>
  </w:num>
  <w:num w:numId="8" w16cid:durableId="1146773662">
    <w:abstractNumId w:val="1"/>
  </w:num>
  <w:num w:numId="9" w16cid:durableId="15976370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E12D7"/>
    <w:rsid w:val="004E1F7E"/>
    <w:rsid w:val="007947DC"/>
    <w:rsid w:val="00AA1D8D"/>
    <w:rsid w:val="00B0055C"/>
    <w:rsid w:val="00B47730"/>
    <w:rsid w:val="00C8228A"/>
    <w:rsid w:val="00CB0664"/>
    <w:rsid w:val="00EE411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3AC3701"/>
  <w14:defaultImageDpi w14:val="300"/>
  <w15:docId w15:val="{902B8811-560D-401C-B2D5-CF488F047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055C"/>
    <w:pPr>
      <w:spacing w:after="60"/>
    </w:pPr>
    <w:rPr>
      <w:rFonts w:ascii="Arial" w:hAnsi="Arial"/>
      <w:color w:val="38434A"/>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ostingBullet">
    <w:name w:val="Posting Bullet"/>
    <w:pPr>
      <w:spacing w:after="32" w:line="245" w:lineRule="auto"/>
      <w:ind w:left="346" w:hanging="187"/>
    </w:pPr>
    <w:rPr>
      <w:rFonts w:ascii="Arial" w:hAnsi="Arial"/>
      <w:color w:val="38434A"/>
      <w:sz w:val="18"/>
    </w:rPr>
  </w:style>
  <w:style w:type="character" w:styleId="Hyperlink">
    <w:name w:val="Hyperlink"/>
    <w:basedOn w:val="DefaultParagraphFont"/>
    <w:uiPriority w:val="99"/>
    <w:unhideWhenUsed/>
    <w:rsid w:val="003E12D7"/>
    <w:rPr>
      <w:color w:val="0000FF" w:themeColor="hyperlink"/>
      <w:u w:val="single"/>
    </w:rPr>
  </w:style>
  <w:style w:type="character" w:styleId="UnresolvedMention">
    <w:name w:val="Unresolved Mention"/>
    <w:basedOn w:val="DefaultParagraphFont"/>
    <w:uiPriority w:val="99"/>
    <w:semiHidden/>
    <w:unhideWhenUsed/>
    <w:rsid w:val="003E12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jobs@ocie.wish.org"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1122</Words>
  <Characters>7547</Characters>
  <Application>Microsoft Office Word</Application>
  <DocSecurity>0</DocSecurity>
  <Lines>139</Lines>
  <Paragraphs>111</Paragraphs>
  <ScaleCrop>false</ScaleCrop>
  <HeadingPairs>
    <vt:vector size="2" baseType="variant">
      <vt:variant>
        <vt:lpstr>Title</vt:lpstr>
      </vt:variant>
      <vt:variant>
        <vt:i4>1</vt:i4>
      </vt:variant>
    </vt:vector>
  </HeadingPairs>
  <TitlesOfParts>
    <vt:vector size="1" baseType="lpstr">
      <vt:lpstr>Operations Specialist Job Posting</vt:lpstr>
    </vt:vector>
  </TitlesOfParts>
  <Manager/>
  <Company/>
  <LinksUpToDate>false</LinksUpToDate>
  <CharactersWithSpaces>8558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Operations Specialist Job Posting</dc:title>
  <dc:subject/>
  <dc:creator>Chelsea Montgomery</dc:creator>
  <cp:keywords/>
  <dc:description>generated by python-docx</dc:description>
  <cp:lastModifiedBy>Chelsea Montgomery</cp:lastModifiedBy>
  <cp:revision>3</cp:revision>
  <dcterms:created xsi:type="dcterms:W3CDTF">2026-10-02T23:35:00Z</dcterms:created>
  <dcterms:modified xsi:type="dcterms:W3CDTF">2026-10-02T23:53:00Z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ae507f4-b89b-44eb-adb9-0a22d0907667_Enabled">
    <vt:lpwstr>true</vt:lpwstr>
  </property>
  <property fmtid="{D5CDD505-2E9C-101B-9397-08002B2CF9AE}" pid="3" name="MSIP_Label_1ae507f4-b89b-44eb-adb9-0a22d0907667_SetDate">
    <vt:lpwstr>2026-10-02T23:35:05Z</vt:lpwstr>
  </property>
  <property fmtid="{D5CDD505-2E9C-101B-9397-08002B2CF9AE}" pid="4" name="MSIP_Label_1ae507f4-b89b-44eb-adb9-0a22d0907667_Method">
    <vt:lpwstr>Privileged</vt:lpwstr>
  </property>
  <property fmtid="{D5CDD505-2E9C-101B-9397-08002B2CF9AE}" pid="5" name="MSIP_Label_1ae507f4-b89b-44eb-adb9-0a22d0907667_Name">
    <vt:lpwstr>Internal</vt:lpwstr>
  </property>
  <property fmtid="{D5CDD505-2E9C-101B-9397-08002B2CF9AE}" pid="6" name="MSIP_Label_1ae507f4-b89b-44eb-adb9-0a22d0907667_SiteId">
    <vt:lpwstr>37175510-571d-470c-b5dc-a9ce65d26717</vt:lpwstr>
  </property>
  <property fmtid="{D5CDD505-2E9C-101B-9397-08002B2CF9AE}" pid="7" name="MSIP_Label_1ae507f4-b89b-44eb-adb9-0a22d0907667_ActionId">
    <vt:lpwstr>b6c53078-cd19-4014-bcd2-a1165e2dfa45</vt:lpwstr>
  </property>
  <property fmtid="{D5CDD505-2E9C-101B-9397-08002B2CF9AE}" pid="8" name="MSIP_Label_1ae507f4-b89b-44eb-adb9-0a22d0907667_ContentBits">
    <vt:lpwstr>0</vt:lpwstr>
  </property>
</Properties>
</file>